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cs="仿宋"/>
          <w:b/>
          <w:color w:val="auto"/>
          <w:sz w:val="32"/>
        </w:rPr>
      </w:pPr>
      <w:r>
        <w:rPr>
          <w:rFonts w:hint="eastAsia" w:ascii="仿宋" w:hAnsi="仿宋" w:eastAsia="仿宋" w:cs="仿宋"/>
          <w:b/>
          <w:color w:val="auto"/>
          <w:sz w:val="32"/>
          <w:lang w:val="en-US" w:eastAsia="zh-CN"/>
        </w:rPr>
        <w:t>湖南省血吸虫病防治所(湖南省第三人民医院</w:t>
      </w:r>
      <w:bookmarkStart w:id="0" w:name="_GoBack"/>
      <w:bookmarkEnd w:id="0"/>
      <w:r>
        <w:rPr>
          <w:rFonts w:hint="eastAsia" w:ascii="仿宋" w:hAnsi="仿宋" w:eastAsia="仿宋" w:cs="仿宋"/>
          <w:b/>
          <w:color w:val="auto"/>
          <w:sz w:val="32"/>
          <w:lang w:val="en-US" w:eastAsia="zh-CN"/>
        </w:rPr>
        <w:t>)药物临床试验伦理委员会会</w:t>
      </w:r>
      <w:r>
        <w:rPr>
          <w:rFonts w:hint="eastAsia" w:ascii="仿宋" w:hAnsi="仿宋" w:eastAsia="仿宋" w:cs="仿宋"/>
          <w:b/>
          <w:color w:val="auto"/>
          <w:sz w:val="32"/>
        </w:rPr>
        <w:t>审批件</w:t>
      </w:r>
    </w:p>
    <w:p>
      <w:pPr>
        <w:jc w:val="right"/>
        <w:rPr>
          <w:rFonts w:eastAsia="仿宋"/>
          <w:color w:val="auto"/>
          <w:sz w:val="24"/>
        </w:rPr>
      </w:pPr>
      <w:r>
        <w:rPr>
          <w:rFonts w:eastAsia="仿宋"/>
          <w:color w:val="auto"/>
          <w:sz w:val="24"/>
        </w:rPr>
        <w:t>EC-XXXXXXXXYY</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253"/>
        <w:gridCol w:w="605"/>
        <w:gridCol w:w="387"/>
        <w:gridCol w:w="1317"/>
        <w:gridCol w:w="256"/>
        <w:gridCol w:w="1448"/>
        <w:gridCol w:w="948"/>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9"/>
          </w:tcPr>
          <w:p>
            <w:pPr>
              <w:jc w:val="left"/>
              <w:rPr>
                <w:rFonts w:eastAsia="仿宋"/>
                <w:color w:val="auto"/>
                <w:sz w:val="24"/>
              </w:rPr>
            </w:pPr>
            <w:r>
              <w:rPr>
                <w:rFonts w:eastAsia="仿宋"/>
                <w:color w:val="auto"/>
                <w:sz w:val="24"/>
              </w:rPr>
              <w:t>项目名称：</w:t>
            </w:r>
          </w:p>
          <w:p>
            <w:pPr>
              <w:jc w:val="left"/>
              <w:rPr>
                <w:rFonts w:eastAsia="仿宋"/>
                <w:color w:val="auto"/>
                <w:sz w:val="24"/>
              </w:rPr>
            </w:pPr>
            <w:r>
              <w:rPr>
                <w:rFonts w:eastAsia="仿宋"/>
                <w:color w:val="auto"/>
                <w:sz w:val="24"/>
              </w:rPr>
              <w:t>方案号：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6" w:type="dxa"/>
            <w:gridSpan w:val="3"/>
          </w:tcPr>
          <w:p>
            <w:pPr>
              <w:jc w:val="left"/>
              <w:rPr>
                <w:rFonts w:eastAsia="仿宋"/>
                <w:color w:val="auto"/>
                <w:sz w:val="24"/>
              </w:rPr>
            </w:pPr>
            <w:r>
              <w:rPr>
                <w:rFonts w:eastAsia="仿宋"/>
                <w:color w:val="auto"/>
                <w:sz w:val="24"/>
              </w:rPr>
              <w:t>申请单位：</w:t>
            </w:r>
          </w:p>
          <w:p>
            <w:pPr>
              <w:jc w:val="left"/>
              <w:rPr>
                <w:rFonts w:eastAsia="仿宋"/>
                <w:color w:val="auto"/>
                <w:sz w:val="24"/>
              </w:rPr>
            </w:pPr>
            <w:r>
              <w:rPr>
                <w:rFonts w:eastAsia="仿宋"/>
                <w:color w:val="auto"/>
                <w:sz w:val="24"/>
              </w:rPr>
              <w:t>主要研究者：</w:t>
            </w:r>
          </w:p>
          <w:p>
            <w:pPr>
              <w:jc w:val="left"/>
              <w:rPr>
                <w:rFonts w:eastAsia="仿宋"/>
                <w:color w:val="auto"/>
                <w:sz w:val="24"/>
              </w:rPr>
            </w:pPr>
            <w:r>
              <w:rPr>
                <w:rFonts w:eastAsia="仿宋"/>
                <w:color w:val="auto"/>
                <w:sz w:val="24"/>
              </w:rPr>
              <w:t>研究者：</w:t>
            </w:r>
          </w:p>
        </w:tc>
        <w:tc>
          <w:tcPr>
            <w:tcW w:w="3408" w:type="dxa"/>
            <w:gridSpan w:val="4"/>
          </w:tcPr>
          <w:p>
            <w:pPr>
              <w:spacing w:line="360" w:lineRule="auto"/>
              <w:jc w:val="left"/>
              <w:rPr>
                <w:rFonts w:eastAsia="仿宋"/>
                <w:color w:val="auto"/>
                <w:sz w:val="24"/>
              </w:rPr>
            </w:pPr>
            <w:r>
              <w:rPr>
                <w:rFonts w:eastAsia="仿宋"/>
                <w:color w:val="auto"/>
                <w:sz w:val="24"/>
              </w:rPr>
              <w:t>申办方：</w:t>
            </w:r>
          </w:p>
          <w:p>
            <w:pPr>
              <w:spacing w:line="360" w:lineRule="auto"/>
              <w:jc w:val="left"/>
              <w:rPr>
                <w:rFonts w:eastAsia="仿宋"/>
                <w:color w:val="auto"/>
                <w:sz w:val="24"/>
              </w:rPr>
            </w:pPr>
            <w:r>
              <w:rPr>
                <w:rFonts w:hint="eastAsia" w:eastAsia="仿宋"/>
                <w:color w:val="auto"/>
                <w:sz w:val="24"/>
              </w:rPr>
              <w:t>NMPA</w:t>
            </w:r>
            <w:r>
              <w:rPr>
                <w:rFonts w:eastAsia="仿宋"/>
                <w:color w:val="auto"/>
                <w:sz w:val="24"/>
              </w:rPr>
              <w:t>批件号：</w:t>
            </w:r>
          </w:p>
        </w:tc>
        <w:tc>
          <w:tcPr>
            <w:tcW w:w="2558" w:type="dxa"/>
            <w:gridSpan w:val="2"/>
          </w:tcPr>
          <w:p>
            <w:pPr>
              <w:jc w:val="left"/>
              <w:rPr>
                <w:rFonts w:eastAsia="仿宋"/>
                <w:color w:val="auto"/>
                <w:sz w:val="24"/>
              </w:rPr>
            </w:pPr>
            <w:r>
              <w:rPr>
                <w:rFonts w:eastAsia="仿宋"/>
                <w:color w:val="auto"/>
                <w:sz w:val="24"/>
              </w:rPr>
              <w:t>试验产品：</w:t>
            </w:r>
          </w:p>
          <w:p>
            <w:pPr>
              <w:jc w:val="left"/>
              <w:rPr>
                <w:rFonts w:eastAsia="仿宋"/>
                <w:color w:val="auto"/>
                <w:sz w:val="24"/>
              </w:rPr>
            </w:pPr>
            <w:r>
              <w:rPr>
                <w:rFonts w:eastAsia="仿宋"/>
                <w:color w:val="auto"/>
                <w:sz w:val="24"/>
              </w:rPr>
              <w:t>剂型：</w:t>
            </w:r>
          </w:p>
          <w:p>
            <w:pPr>
              <w:jc w:val="left"/>
              <w:rPr>
                <w:rFonts w:hint="eastAsia" w:eastAsia="仿宋"/>
                <w:color w:val="auto"/>
                <w:sz w:val="24"/>
                <w:lang w:eastAsia="zh-CN"/>
              </w:rPr>
            </w:pPr>
            <w:r>
              <w:rPr>
                <w:rFonts w:eastAsia="仿宋"/>
                <w:color w:val="auto"/>
                <w:sz w:val="24"/>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0" w:type="dxa"/>
            <w:gridSpan w:val="5"/>
          </w:tcPr>
          <w:p>
            <w:pPr>
              <w:jc w:val="left"/>
              <w:rPr>
                <w:rFonts w:eastAsia="仿宋"/>
                <w:color w:val="auto"/>
                <w:sz w:val="24"/>
              </w:rPr>
            </w:pPr>
            <w:r>
              <w:rPr>
                <w:rFonts w:eastAsia="仿宋"/>
                <w:color w:val="auto"/>
                <w:sz w:val="24"/>
              </w:rPr>
              <w:t>审查时间：</w:t>
            </w:r>
          </w:p>
        </w:tc>
        <w:tc>
          <w:tcPr>
            <w:tcW w:w="4262" w:type="dxa"/>
            <w:gridSpan w:val="4"/>
          </w:tcPr>
          <w:p>
            <w:pPr>
              <w:jc w:val="left"/>
              <w:rPr>
                <w:rFonts w:eastAsia="仿宋"/>
                <w:color w:val="auto"/>
                <w:sz w:val="24"/>
              </w:rPr>
            </w:pPr>
            <w:r>
              <w:rPr>
                <w:rFonts w:eastAsia="仿宋"/>
                <w:color w:val="auto"/>
                <w:sz w:val="24"/>
              </w:rPr>
              <w:t>审查会议地址：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0" w:type="dxa"/>
            <w:gridSpan w:val="5"/>
          </w:tcPr>
          <w:p>
            <w:pPr>
              <w:jc w:val="left"/>
              <w:rPr>
                <w:rFonts w:eastAsia="仿宋"/>
                <w:color w:val="auto"/>
                <w:sz w:val="24"/>
              </w:rPr>
            </w:pPr>
            <w:r>
              <w:rPr>
                <w:rFonts w:eastAsia="仿宋"/>
                <w:color w:val="auto"/>
                <w:sz w:val="24"/>
              </w:rPr>
              <w:t>有效期：1年</w:t>
            </w:r>
          </w:p>
        </w:tc>
        <w:tc>
          <w:tcPr>
            <w:tcW w:w="4262" w:type="dxa"/>
            <w:gridSpan w:val="4"/>
          </w:tcPr>
          <w:p>
            <w:pPr>
              <w:jc w:val="left"/>
              <w:rPr>
                <w:rFonts w:eastAsia="仿宋"/>
                <w:color w:val="auto"/>
                <w:sz w:val="24"/>
              </w:rPr>
            </w:pPr>
            <w:r>
              <w:rPr>
                <w:rFonts w:eastAsia="仿宋"/>
                <w:color w:val="auto"/>
                <w:sz w:val="24"/>
              </w:rPr>
              <w:t>跟踪审查频率：12个月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9"/>
          </w:tcPr>
          <w:p>
            <w:pPr>
              <w:jc w:val="left"/>
              <w:rPr>
                <w:rFonts w:eastAsia="仿宋"/>
                <w:color w:val="auto"/>
                <w:sz w:val="24"/>
              </w:rPr>
            </w:pPr>
            <w:r>
              <w:rPr>
                <w:rFonts w:eastAsia="仿宋"/>
                <w:color w:val="auto"/>
                <w:sz w:val="24"/>
              </w:rPr>
              <w:t>审查文件：</w:t>
            </w:r>
          </w:p>
          <w:p>
            <w:pPr>
              <w:ind w:firstLine="480"/>
              <w:jc w:val="left"/>
              <w:rPr>
                <w:rFonts w:eastAsia="仿宋"/>
                <w:color w:val="auto"/>
                <w:sz w:val="24"/>
              </w:rPr>
            </w:pPr>
            <w:r>
              <w:rPr>
                <w:rFonts w:eastAsia="仿宋"/>
                <w:color w:val="auto"/>
                <w:sz w:val="24"/>
              </w:rPr>
              <w:t>1.XX项目方案，版本号，版本日期：XXXX年XX月XX日，中英文版</w:t>
            </w:r>
          </w:p>
          <w:p>
            <w:pPr>
              <w:ind w:firstLine="480"/>
              <w:jc w:val="left"/>
              <w:rPr>
                <w:rFonts w:eastAsia="仿宋"/>
                <w:color w:val="auto"/>
                <w:sz w:val="24"/>
              </w:rPr>
            </w:pPr>
            <w:r>
              <w:rPr>
                <w:rFonts w:eastAsia="仿宋"/>
                <w:color w:val="auto"/>
                <w:sz w:val="24"/>
              </w:rPr>
              <w:t>2.知情同意书/ICF</w:t>
            </w:r>
          </w:p>
          <w:p>
            <w:pPr>
              <w:ind w:firstLine="480"/>
              <w:jc w:val="left"/>
              <w:rPr>
                <w:rFonts w:eastAsia="仿宋"/>
                <w:color w:val="auto"/>
                <w:sz w:val="24"/>
              </w:rPr>
            </w:pPr>
            <w:r>
              <w:rPr>
                <w:rFonts w:eastAsia="仿宋"/>
                <w:color w:val="auto"/>
                <w:sz w:val="24"/>
              </w:rPr>
              <w:t xml:space="preserve">  2.1 受试者知情同意书，版本号，版本日期</w:t>
            </w:r>
          </w:p>
          <w:p>
            <w:pPr>
              <w:ind w:firstLine="480"/>
              <w:jc w:val="left"/>
              <w:rPr>
                <w:rFonts w:eastAsia="仿宋"/>
                <w:color w:val="auto"/>
                <w:sz w:val="24"/>
              </w:rPr>
            </w:pPr>
            <w:r>
              <w:rPr>
                <w:rFonts w:eastAsia="仿宋"/>
                <w:color w:val="auto"/>
                <w:sz w:val="24"/>
              </w:rPr>
              <w:t xml:space="preserve">  2.2 受试者知情同意书第几版修订摘要</w:t>
            </w:r>
          </w:p>
          <w:p>
            <w:pPr>
              <w:ind w:firstLine="480"/>
              <w:jc w:val="left"/>
              <w:rPr>
                <w:rFonts w:eastAsia="仿宋"/>
                <w:color w:val="auto"/>
                <w:sz w:val="24"/>
              </w:rPr>
            </w:pPr>
            <w:r>
              <w:rPr>
                <w:rFonts w:eastAsia="仿宋"/>
                <w:color w:val="auto"/>
                <w:sz w:val="24"/>
              </w:rPr>
              <w:t>3.病例报告表，版本号，版本日期</w:t>
            </w:r>
          </w:p>
          <w:p>
            <w:pPr>
              <w:ind w:firstLine="480"/>
              <w:jc w:val="left"/>
              <w:rPr>
                <w:rFonts w:eastAsia="仿宋"/>
                <w:color w:val="auto"/>
                <w:sz w:val="24"/>
              </w:rPr>
            </w:pPr>
            <w:r>
              <w:rPr>
                <w:rFonts w:eastAsia="仿宋"/>
                <w:color w:val="auto"/>
                <w:sz w:val="24"/>
              </w:rPr>
              <w:t>4.招募广告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698" w:type="dxa"/>
            <w:vAlign w:val="center"/>
          </w:tcPr>
          <w:p>
            <w:pPr>
              <w:jc w:val="center"/>
              <w:rPr>
                <w:rFonts w:eastAsia="仿宋"/>
                <w:color w:val="auto"/>
                <w:sz w:val="24"/>
              </w:rPr>
            </w:pPr>
            <w:r>
              <w:rPr>
                <w:rFonts w:eastAsia="仿宋"/>
                <w:color w:val="auto"/>
                <w:sz w:val="24"/>
              </w:rPr>
              <w:t>同意</w:t>
            </w:r>
          </w:p>
        </w:tc>
        <w:tc>
          <w:tcPr>
            <w:tcW w:w="1253" w:type="dxa"/>
            <w:vAlign w:val="center"/>
          </w:tcPr>
          <w:p>
            <w:pPr>
              <w:jc w:val="center"/>
              <w:rPr>
                <w:rFonts w:eastAsia="仿宋"/>
                <w:color w:val="auto"/>
                <w:sz w:val="24"/>
              </w:rPr>
            </w:pPr>
            <w:r>
              <w:rPr>
                <w:rFonts w:eastAsia="仿宋"/>
                <w:color w:val="auto"/>
                <w:sz w:val="24"/>
              </w:rPr>
              <w:t xml:space="preserve"> </w:t>
            </w:r>
          </w:p>
        </w:tc>
        <w:tc>
          <w:tcPr>
            <w:tcW w:w="992" w:type="dxa"/>
            <w:gridSpan w:val="2"/>
            <w:vAlign w:val="center"/>
          </w:tcPr>
          <w:p>
            <w:pPr>
              <w:jc w:val="center"/>
              <w:rPr>
                <w:rFonts w:eastAsia="仿宋"/>
                <w:color w:val="auto"/>
                <w:sz w:val="24"/>
              </w:rPr>
            </w:pPr>
            <w:r>
              <w:rPr>
                <w:rFonts w:eastAsia="仿宋"/>
                <w:color w:val="auto"/>
                <w:sz w:val="24"/>
              </w:rPr>
              <w:t>不同意</w:t>
            </w:r>
          </w:p>
        </w:tc>
        <w:tc>
          <w:tcPr>
            <w:tcW w:w="1573" w:type="dxa"/>
            <w:gridSpan w:val="2"/>
            <w:vAlign w:val="center"/>
          </w:tcPr>
          <w:p>
            <w:pPr>
              <w:jc w:val="center"/>
              <w:rPr>
                <w:rFonts w:eastAsia="仿宋"/>
                <w:color w:val="auto"/>
                <w:sz w:val="24"/>
              </w:rPr>
            </w:pPr>
          </w:p>
        </w:tc>
        <w:tc>
          <w:tcPr>
            <w:tcW w:w="2396" w:type="dxa"/>
            <w:gridSpan w:val="2"/>
            <w:vAlign w:val="center"/>
          </w:tcPr>
          <w:p>
            <w:pPr>
              <w:jc w:val="center"/>
              <w:rPr>
                <w:rFonts w:eastAsia="仿宋"/>
                <w:color w:val="auto"/>
                <w:sz w:val="24"/>
              </w:rPr>
            </w:pPr>
            <w:r>
              <w:rPr>
                <w:rFonts w:eastAsia="仿宋"/>
                <w:color w:val="auto"/>
                <w:sz w:val="24"/>
              </w:rPr>
              <w:t>必要的修正后同意</w:t>
            </w:r>
          </w:p>
        </w:tc>
        <w:tc>
          <w:tcPr>
            <w:tcW w:w="1610" w:type="dxa"/>
            <w:vAlign w:val="center"/>
          </w:tcPr>
          <w:p>
            <w:pPr>
              <w:jc w:val="center"/>
              <w:rPr>
                <w:rFonts w:eastAsia="仿宋"/>
                <w:color w:val="auto"/>
                <w:sz w:val="24"/>
              </w:rPr>
            </w:pPr>
            <w:r>
              <w:rPr>
                <w:rFonts w:eastAsia="仿宋"/>
                <w:color w:val="auto"/>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943" w:type="dxa"/>
            <w:gridSpan w:val="4"/>
            <w:vAlign w:val="center"/>
          </w:tcPr>
          <w:p>
            <w:pPr>
              <w:jc w:val="center"/>
              <w:rPr>
                <w:rFonts w:eastAsia="仿宋"/>
                <w:color w:val="auto"/>
                <w:sz w:val="24"/>
              </w:rPr>
            </w:pPr>
            <w:r>
              <w:rPr>
                <w:rFonts w:eastAsia="仿宋"/>
                <w:color w:val="auto"/>
                <w:sz w:val="24"/>
              </w:rPr>
              <w:t>终止或暂停已</w:t>
            </w:r>
            <w:r>
              <w:rPr>
                <w:rFonts w:hint="eastAsia" w:eastAsia="仿宋"/>
                <w:color w:val="auto"/>
                <w:sz w:val="24"/>
              </w:rPr>
              <w:t>同意</w:t>
            </w:r>
            <w:r>
              <w:rPr>
                <w:rFonts w:eastAsia="仿宋"/>
                <w:color w:val="auto"/>
                <w:sz w:val="24"/>
              </w:rPr>
              <w:t>的研究</w:t>
            </w:r>
          </w:p>
        </w:tc>
        <w:tc>
          <w:tcPr>
            <w:tcW w:w="5579" w:type="dxa"/>
            <w:gridSpan w:val="5"/>
            <w:vAlign w:val="center"/>
          </w:tcPr>
          <w:p>
            <w:pPr>
              <w:jc w:val="center"/>
              <w:rPr>
                <w:rFonts w:eastAsia="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943" w:type="dxa"/>
            <w:gridSpan w:val="4"/>
          </w:tcPr>
          <w:p>
            <w:pPr>
              <w:jc w:val="left"/>
              <w:rPr>
                <w:rFonts w:eastAsia="仿宋"/>
                <w:color w:val="auto"/>
                <w:sz w:val="24"/>
              </w:rPr>
            </w:pPr>
            <w:r>
              <w:rPr>
                <w:rFonts w:eastAsia="仿宋"/>
                <w:color w:val="auto"/>
                <w:sz w:val="24"/>
              </w:rPr>
              <w:t>审评意见：</w:t>
            </w:r>
          </w:p>
          <w:p>
            <w:pPr>
              <w:ind w:firstLine="480"/>
              <w:jc w:val="left"/>
              <w:rPr>
                <w:rFonts w:eastAsia="仿宋"/>
                <w:color w:val="auto"/>
                <w:sz w:val="24"/>
              </w:rPr>
            </w:pPr>
            <w:r>
              <w:rPr>
                <w:rFonts w:eastAsia="仿宋"/>
                <w:color w:val="auto"/>
                <w:sz w:val="24"/>
              </w:rPr>
              <w:t>同意使用上述文件。</w:t>
            </w:r>
          </w:p>
          <w:p>
            <w:pPr>
              <w:ind w:firstLine="480"/>
              <w:jc w:val="left"/>
              <w:rPr>
                <w:rFonts w:eastAsia="仿宋"/>
                <w:color w:val="auto"/>
                <w:sz w:val="24"/>
              </w:rPr>
            </w:pPr>
          </w:p>
          <w:p>
            <w:pPr>
              <w:ind w:firstLine="480"/>
              <w:jc w:val="left"/>
              <w:rPr>
                <w:rFonts w:eastAsia="仿宋"/>
                <w:color w:val="auto"/>
                <w:sz w:val="24"/>
              </w:rPr>
            </w:pPr>
            <w:r>
              <w:rPr>
                <w:rFonts w:eastAsia="仿宋"/>
                <w:color w:val="auto"/>
                <w:sz w:val="24"/>
              </w:rPr>
              <w:t xml:space="preserve">                                            </w:t>
            </w:r>
          </w:p>
          <w:p>
            <w:pPr>
              <w:ind w:firstLine="5520" w:firstLineChars="2300"/>
              <w:jc w:val="left"/>
              <w:rPr>
                <w:rFonts w:eastAsia="仿宋"/>
                <w:color w:val="auto"/>
                <w:sz w:val="24"/>
              </w:rPr>
            </w:pPr>
            <w:r>
              <w:rPr>
                <w:rFonts w:eastAsia="仿宋"/>
                <w:color w:val="auto"/>
                <w:sz w:val="24"/>
              </w:rPr>
              <w:t>主任委员：</w:t>
            </w:r>
          </w:p>
          <w:p>
            <w:pPr>
              <w:ind w:firstLine="480"/>
              <w:jc w:val="left"/>
              <w:rPr>
                <w:rFonts w:eastAsia="仿宋"/>
                <w:color w:val="auto"/>
                <w:sz w:val="24"/>
              </w:rPr>
            </w:pPr>
            <w:r>
              <w:rPr>
                <w:rFonts w:eastAsia="仿宋"/>
                <w:color w:val="auto"/>
                <w:sz w:val="24"/>
              </w:rPr>
              <w:t xml:space="preserve">                                                          （盖章）</w:t>
            </w:r>
          </w:p>
          <w:p>
            <w:pPr>
              <w:ind w:firstLine="480"/>
              <w:jc w:val="left"/>
              <w:rPr>
                <w:rFonts w:eastAsia="仿宋"/>
                <w:color w:val="auto"/>
                <w:sz w:val="24"/>
              </w:rPr>
            </w:pPr>
            <w:r>
              <w:rPr>
                <w:rFonts w:eastAsia="仿宋"/>
                <w:color w:val="auto"/>
                <w:sz w:val="24"/>
              </w:rPr>
              <w:t xml:space="preserve">                                              日期：</w:t>
            </w:r>
          </w:p>
          <w:p>
            <w:pPr>
              <w:ind w:firstLine="480"/>
              <w:jc w:val="left"/>
              <w:rPr>
                <w:rFonts w:eastAsia="仿宋"/>
                <w:color w:val="auto"/>
                <w:sz w:val="24"/>
              </w:rPr>
            </w:pPr>
          </w:p>
        </w:tc>
        <w:tc>
          <w:tcPr>
            <w:tcW w:w="5579" w:type="dxa"/>
            <w:gridSpan w:val="5"/>
            <w:vAlign w:val="center"/>
          </w:tcPr>
          <w:p>
            <w:pPr>
              <w:jc w:val="center"/>
              <w:rPr>
                <w:rFonts w:eastAsia="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9"/>
          </w:tcPr>
          <w:p>
            <w:pPr>
              <w:jc w:val="left"/>
              <w:rPr>
                <w:rFonts w:eastAsia="仿宋"/>
                <w:color w:val="auto"/>
                <w:sz w:val="24"/>
              </w:rPr>
            </w:pPr>
            <w:r>
              <w:rPr>
                <w:rFonts w:eastAsia="仿宋"/>
                <w:color w:val="auto"/>
                <w:sz w:val="24"/>
              </w:rPr>
              <w:t>注意：</w:t>
            </w:r>
          </w:p>
          <w:p>
            <w:pPr>
              <w:ind w:firstLine="480"/>
              <w:jc w:val="left"/>
              <w:rPr>
                <w:rFonts w:eastAsia="仿宋"/>
                <w:color w:val="auto"/>
                <w:sz w:val="24"/>
              </w:rPr>
            </w:pPr>
            <w:r>
              <w:rPr>
                <w:rFonts w:eastAsia="仿宋"/>
                <w:color w:val="auto"/>
                <w:sz w:val="24"/>
              </w:rPr>
              <w:t>本伦理委员会是独立的，并遵循ICH GCP原则、中国GCP及相关法规。</w:t>
            </w:r>
          </w:p>
          <w:p>
            <w:pPr>
              <w:ind w:firstLine="480"/>
              <w:jc w:val="left"/>
              <w:rPr>
                <w:rFonts w:eastAsia="仿宋"/>
                <w:color w:val="auto"/>
                <w:sz w:val="24"/>
              </w:rPr>
            </w:pPr>
            <w:r>
              <w:rPr>
                <w:rFonts w:eastAsia="仿宋"/>
                <w:color w:val="auto"/>
                <w:sz w:val="24"/>
              </w:rPr>
              <w:t>凡涉及人类自愿采集、收集、买卖、出口、出境审批的项目需在我院人体生物标本及人类遗传资源管理委员会审批。</w:t>
            </w:r>
          </w:p>
          <w:p>
            <w:pPr>
              <w:ind w:firstLine="480"/>
              <w:jc w:val="left"/>
              <w:rPr>
                <w:rFonts w:eastAsia="仿宋"/>
                <w:color w:val="auto"/>
                <w:sz w:val="24"/>
              </w:rPr>
            </w:pPr>
            <w:r>
              <w:rPr>
                <w:rFonts w:eastAsia="仿宋"/>
                <w:color w:val="auto"/>
                <w:sz w:val="24"/>
              </w:rPr>
              <w:t>研究过程中若变更主要研究者，以及对临床研究方案、知情同意书、招募材料等修改，请提交修正案审查申请。</w:t>
            </w:r>
          </w:p>
          <w:p>
            <w:pPr>
              <w:ind w:firstLine="480"/>
              <w:jc w:val="left"/>
              <w:rPr>
                <w:rFonts w:eastAsia="仿宋"/>
                <w:color w:val="auto"/>
                <w:sz w:val="24"/>
              </w:rPr>
            </w:pPr>
            <w:r>
              <w:rPr>
                <w:rFonts w:eastAsia="仿宋"/>
                <w:color w:val="auto"/>
                <w:sz w:val="24"/>
              </w:rPr>
              <w:t>发生严重不良事件，请在获知后24小时内提交严重不良事件报告。</w:t>
            </w:r>
          </w:p>
          <w:p>
            <w:pPr>
              <w:ind w:firstLine="480"/>
              <w:jc w:val="left"/>
              <w:rPr>
                <w:rFonts w:eastAsia="仿宋"/>
                <w:color w:val="auto"/>
                <w:sz w:val="24"/>
              </w:rPr>
            </w:pPr>
            <w:r>
              <w:rPr>
                <w:rFonts w:eastAsia="仿宋"/>
                <w:color w:val="auto"/>
                <w:sz w:val="24"/>
              </w:rPr>
              <w:t>发生违背方案的情况，请及时提交违背方案报告。</w:t>
            </w:r>
          </w:p>
          <w:p>
            <w:pPr>
              <w:ind w:firstLine="480"/>
              <w:jc w:val="left"/>
              <w:rPr>
                <w:rFonts w:eastAsia="仿宋"/>
                <w:color w:val="auto"/>
                <w:sz w:val="24"/>
              </w:rPr>
            </w:pPr>
            <w:r>
              <w:rPr>
                <w:rFonts w:eastAsia="仿宋"/>
                <w:color w:val="auto"/>
                <w:sz w:val="24"/>
              </w:rPr>
              <w:t>本批件自签发之日起生效，请按照伦理委员会规定的跟踪审查频率，在截至日期前1个月提交持续审查申请。</w:t>
            </w:r>
          </w:p>
          <w:p>
            <w:pPr>
              <w:ind w:firstLine="480"/>
              <w:jc w:val="left"/>
              <w:rPr>
                <w:rFonts w:eastAsia="仿宋"/>
                <w:color w:val="auto"/>
                <w:sz w:val="24"/>
              </w:rPr>
            </w:pPr>
            <w:r>
              <w:rPr>
                <w:rFonts w:eastAsia="仿宋"/>
                <w:color w:val="auto"/>
                <w:sz w:val="24"/>
              </w:rPr>
              <w:t>申请人暂停或提前终止临床研究，请及时提交终止/暂停研究报告。</w:t>
            </w:r>
          </w:p>
          <w:p>
            <w:pPr>
              <w:ind w:firstLine="480"/>
              <w:jc w:val="left"/>
              <w:rPr>
                <w:rFonts w:eastAsia="仿宋"/>
                <w:color w:val="auto"/>
                <w:sz w:val="24"/>
              </w:rPr>
            </w:pPr>
            <w:r>
              <w:rPr>
                <w:rFonts w:eastAsia="仿宋"/>
                <w:color w:val="auto"/>
                <w:sz w:val="24"/>
              </w:rPr>
              <w:t>完成临床研究，请提交结题报告。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9"/>
            <w:tcBorders>
              <w:left w:val="nil"/>
              <w:bottom w:val="nil"/>
              <w:right w:val="nil"/>
            </w:tcBorders>
          </w:tcPr>
          <w:p>
            <w:pPr>
              <w:ind w:firstLine="480"/>
              <w:jc w:val="left"/>
              <w:rPr>
                <w:rFonts w:eastAsia="仿宋"/>
                <w:color w:val="auto"/>
                <w:sz w:val="24"/>
              </w:rPr>
            </w:pPr>
          </w:p>
          <w:p>
            <w:pPr>
              <w:jc w:val="left"/>
              <w:rPr>
                <w:rFonts w:eastAsia="仿宋"/>
                <w:color w:val="auto"/>
                <w:sz w:val="24"/>
              </w:rPr>
            </w:pPr>
            <w:r>
              <w:rPr>
                <w:rFonts w:eastAsia="仿宋"/>
                <w:color w:val="auto"/>
                <w:sz w:val="24"/>
              </w:rPr>
              <w:t>地址：            邮编：           电话：          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9"/>
            <w:tcBorders>
              <w:left w:val="nil"/>
              <w:bottom w:val="nil"/>
              <w:right w:val="nil"/>
            </w:tcBorders>
          </w:tcPr>
          <w:p>
            <w:pPr>
              <w:jc w:val="left"/>
              <w:rPr>
                <w:rFonts w:eastAsia="仿宋"/>
                <w:color w:val="auto"/>
                <w:sz w:val="24"/>
              </w:rPr>
            </w:pPr>
          </w:p>
        </w:tc>
      </w:tr>
    </w:tbl>
    <w:p>
      <w:pPr>
        <w:rPr>
          <w:rFonts w:eastAsia="仿宋"/>
          <w:color w:val="auto"/>
        </w:rPr>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both"/>
      <w:rPr>
        <w:rFonts w:hint="default" w:ascii="仿宋" w:hAnsi="仿宋" w:eastAsia="仿宋" w:cs="仿宋"/>
        <w:sz w:val="21"/>
        <w:szCs w:val="22"/>
        <w:lang w:val="en-US"/>
      </w:rPr>
    </w:pPr>
    <w:r>
      <w:rPr>
        <w:rFonts w:hint="eastAsia" w:ascii="仿宋" w:hAnsi="仿宋" w:eastAsia="仿宋" w:cs="仿宋"/>
        <w:sz w:val="21"/>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15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path/>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15</w:t>
                    </w:r>
                    <w:r>
                      <w:fldChar w:fldCharType="end"/>
                    </w:r>
                    <w:r>
                      <w:t xml:space="preserve"> 页</w:t>
                    </w:r>
                  </w:p>
                </w:txbxContent>
              </v:textbox>
            </v:shape>
          </w:pict>
        </mc:Fallback>
      </mc:AlternateContent>
    </w:r>
    <w:r>
      <w:rPr>
        <w:rFonts w:hint="eastAsia" w:ascii="仿宋" w:hAnsi="仿宋" w:eastAsia="仿宋" w:cs="仿宋"/>
        <w:sz w:val="21"/>
        <w:lang w:val="en-US" w:eastAsia="zh-CN"/>
      </w:rPr>
      <w:t>湖南省血吸虫病防治所(湖南省第三人民医院)</w:t>
    </w:r>
  </w:p>
  <w:p>
    <w:pPr>
      <w:pStyle w:val="2"/>
      <w:rPr>
        <w:rFonts w:hint="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numPr>
        <w:ilvl w:val="0"/>
        <w:numId w:val="0"/>
      </w:numPr>
      <w:spacing w:line="300" w:lineRule="auto"/>
      <w:ind w:leftChars="0"/>
      <w:rPr>
        <w:rFonts w:hint="default"/>
        <w:sz w:val="21"/>
        <w:szCs w:val="21"/>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zMTVkOTU0ZjllNDA0OTkzYWFmNGY4OGZjNTZlY2YifQ=="/>
  </w:docVars>
  <w:rsids>
    <w:rsidRoot w:val="00000000"/>
    <w:rsid w:val="009D3517"/>
    <w:rsid w:val="0CE30C4A"/>
    <w:rsid w:val="7F4166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列出段落1"/>
    <w:basedOn w:val="1"/>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533</Words>
  <Characters>574</Characters>
  <Lines>0</Lines>
  <Paragraphs>0</Paragraphs>
  <TotalTime>0</TotalTime>
  <ScaleCrop>false</ScaleCrop>
  <LinksUpToDate>false</LinksUpToDate>
  <CharactersWithSpaces>764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2023-05-19T02:23:00Z</dcterms:created>
  <dc:creator>Administrator</dc:creator>
  <cp:lastModifiedBy>岚</cp:lastModifiedBy>
  <dcterms:modified xsi:type="dcterms:W3CDTF">2023-08-07T02:41:41Z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ED8CFD3A3DA44DA2B3ADB45FB9A8EF16_12</vt:lpwstr>
  </property>
</Properties>
</file>